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CE2E12" w:rsidRDefault="00CE2E12" w:rsidP="00CE2E12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62263A">
              <w:rPr>
                <w:rFonts w:ascii="Times New Roman" w:hAnsi="Times New Roman"/>
                <w:b/>
                <w:sz w:val="20"/>
                <w:szCs w:val="22"/>
              </w:rPr>
              <w:t>Toner Compatível com impressora Lexmark 604H MX611.</w:t>
            </w:r>
            <w:bookmarkStart w:id="0" w:name="_GoBack"/>
            <w:bookmarkEnd w:id="0"/>
          </w:p>
          <w:p w:rsidR="003B2D08" w:rsidRDefault="003B2D08" w:rsidP="003B2D08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2D39F8" w:rsidRPr="00ED5545" w:rsidRDefault="002D39F8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62263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850" w:type="dxa"/>
          </w:tcPr>
          <w:p w:rsidR="002D39F8" w:rsidRPr="002D39F8" w:rsidRDefault="0062263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3B2D08">
        <w:rPr>
          <w:rFonts w:ascii="Times New Roman" w:hAnsi="Times New Roman"/>
          <w:sz w:val="20"/>
          <w:szCs w:val="22"/>
        </w:rPr>
        <w:t>........ de 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5A" w:rsidRDefault="008D2B5A" w:rsidP="00BE6ED6">
      <w:r>
        <w:separator/>
      </w:r>
    </w:p>
  </w:endnote>
  <w:endnote w:type="continuationSeparator" w:id="0">
    <w:p w:rsidR="008D2B5A" w:rsidRDefault="008D2B5A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5A" w:rsidRDefault="008D2B5A" w:rsidP="00BE6ED6">
      <w:r>
        <w:separator/>
      </w:r>
    </w:p>
  </w:footnote>
  <w:footnote w:type="continuationSeparator" w:id="0">
    <w:p w:rsidR="008D2B5A" w:rsidRDefault="008D2B5A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B2D08"/>
    <w:rsid w:val="003C1DFC"/>
    <w:rsid w:val="003C4F8B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2263A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2B5A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1EC7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2E1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559C-F6A2-486D-8121-E9E91971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7</cp:revision>
  <cp:lastPrinted>2024-11-11T21:27:00Z</cp:lastPrinted>
  <dcterms:created xsi:type="dcterms:W3CDTF">2024-11-26T18:07:00Z</dcterms:created>
  <dcterms:modified xsi:type="dcterms:W3CDTF">2025-11-10T20:01:00Z</dcterms:modified>
</cp:coreProperties>
</file>